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Самоопределение и профессиональная ориентация учащихся</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«Самоопределение и профессиональная ориентация учащихся»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«Самоопределение и профессиональная ориентация учащихся».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«Самоопределение и профессиональная ориентация учащихся»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взаимодействие с другими специалистами в рамках психолого-медико-педагогического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саморазвития</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«Самоопределение и профессиональная ориентация учащихся» относится к обязательной части, является дисциплиной Блока Б1. «Дисциплины (модули)». Модуль "Психология и педагогика подросткового и юношеского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"Психология и педагогика подросткового и юношеского возраста"</w:t>
            </w:r>
          </w:p>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"Психолого-педагогическое сопровождение педагогической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Профориентационные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Психология детской субкультуры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Профориентационные технологии</w:t>
            </w:r>
          </w:p>
          <w:p>
            <w:pPr>
              <w:jc w:val="center"/>
              <w:spacing w:after="0" w:line="240" w:lineRule="auto"/>
              <w:rPr>
                <w:sz w:val="22"/>
                <w:szCs w:val="22"/>
              </w:rPr>
            </w:pPr>
            <w:r>
              <w:rPr>
                <w:rFonts w:ascii="Times New Roman" w:hAnsi="Times New Roman" w:cs="Times New Roman"/>
                <w:color w:val="#000000"/>
                <w:sz w:val="22"/>
                <w:szCs w:val="22"/>
              </w:rPr>
              <w:t> Психология детской субкультуры</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подростками
</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взаимодействие участников образовательного процесса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Оптант как субъект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профессионального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профориентационной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Профессиоведение как раздел профконсультирования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профориентации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профессионального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Оптант как субъект профессионального и личностного самоопределения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профессионального жизненного пути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профориентационной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Профессиоведение как раздел профконсультирования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692.8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профориентации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профессионального самоопределения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Оптант как субъект профессионального и личностного самоопределения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профессионального жизненного пути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профориентационной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Профессиоведение как раздел профконсультирования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профориентации</w:t>
            </w:r>
          </w:p>
        </w:tc>
      </w:tr>
      <w:tr>
        <w:trPr>
          <w:trHeight w:hRule="exact" w:val="21.31518"/>
        </w:trPr>
        <w:tc>
          <w:tcPr>
            <w:tcW w:w="9640" w:type="dxa"/>
          </w:tcPr>
          <w:p/>
        </w:tc>
      </w:tr>
      <w:tr>
        <w:trPr>
          <w:trHeight w:hRule="exact" w:val="974.31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цель и задачи профориентации.</w:t>
            </w:r>
          </w:p>
          <w:p>
            <w:pPr>
              <w:jc w:val="left"/>
              <w:spacing w:after="0" w:line="240" w:lineRule="auto"/>
              <w:rPr>
                <w:sz w:val="24"/>
                <w:szCs w:val="24"/>
              </w:rPr>
            </w:pPr>
            <w:r>
              <w:rPr>
                <w:rFonts w:ascii="Times New Roman" w:hAnsi="Times New Roman" w:cs="Times New Roman"/>
                <w:color w:val="#000000"/>
                <w:sz w:val="24"/>
                <w:szCs w:val="24"/>
              </w:rPr>
              <w:t> Культурно-исторический смысл возникновения проблемы профессионального самоопределения. Развитие профориентационной работы за рубежом 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нашей стране. Исторически сложившиеся и специфические по содержанию и</w:t>
            </w:r>
          </w:p>
          <w:p>
            <w:pPr>
              <w:jc w:val="left"/>
              <w:spacing w:after="0" w:line="240" w:lineRule="auto"/>
              <w:rPr>
                <w:sz w:val="24"/>
                <w:szCs w:val="24"/>
              </w:rPr>
            </w:pPr>
            <w:r>
              <w:rPr>
                <w:rFonts w:ascii="Times New Roman" w:hAnsi="Times New Roman" w:cs="Times New Roman"/>
                <w:color w:val="#000000"/>
                <w:sz w:val="24"/>
                <w:szCs w:val="24"/>
              </w:rPr>
              <w:t> целям формы профориентации. Формы профориентации. Соотношение понятий «профориентация» и «профконсультация», «профессиональное самоопределение» и «личностное самоопределение».</w:t>
            </w:r>
          </w:p>
          <w:p>
            <w:pPr>
              <w:jc w:val="left"/>
              <w:spacing w:after="0" w:line="240" w:lineRule="auto"/>
              <w:rPr>
                <w:sz w:val="24"/>
                <w:szCs w:val="24"/>
              </w:rPr>
            </w:pPr>
            <w:r>
              <w:rPr>
                <w:rFonts w:ascii="Times New Roman" w:hAnsi="Times New Roman" w:cs="Times New Roman"/>
                <w:color w:val="#000000"/>
                <w:sz w:val="24"/>
                <w:szCs w:val="24"/>
              </w:rPr>
              <w:t> Роль и значение профориентации в системе психологической науки и практики. Психологические особенности и закономерности формирования профессиональных намерений, выбора профессии и овладения профессиональными знаниями, умениями, навыками. Прикладные задачи профессиональной ориентации.</w:t>
            </w:r>
          </w:p>
          <w:p>
            <w:pPr>
              <w:jc w:val="left"/>
              <w:spacing w:after="0" w:line="240" w:lineRule="auto"/>
              <w:rPr>
                <w:sz w:val="24"/>
                <w:szCs w:val="24"/>
              </w:rPr>
            </w:pPr>
            <w:r>
              <w:rPr>
                <w:rFonts w:ascii="Times New Roman" w:hAnsi="Times New Roman" w:cs="Times New Roman"/>
                <w:color w:val="#000000"/>
                <w:sz w:val="24"/>
                <w:szCs w:val="24"/>
              </w:rPr>
              <w:t> Основные формы профориентации: профессиональное просвещение, профессиональное самоопределение, профессиональное консультирование, трудоустройство, профессиональный отбор, профессиональная адаптация и др.</w:t>
            </w:r>
          </w:p>
          <w:p>
            <w:pPr>
              <w:jc w:val="left"/>
              <w:spacing w:after="0" w:line="240" w:lineRule="auto"/>
              <w:rPr>
                <w:sz w:val="24"/>
                <w:szCs w:val="24"/>
              </w:rPr>
            </w:pPr>
            <w:r>
              <w:rPr>
                <w:rFonts w:ascii="Times New Roman" w:hAnsi="Times New Roman" w:cs="Times New Roman"/>
                <w:color w:val="#000000"/>
                <w:sz w:val="24"/>
                <w:szCs w:val="24"/>
              </w:rPr>
              <w:t> Профессиональная ориентация в системе школьного образования как целостная система учебно-воспитательных мероприятий; как сложный процесс приведения в определённое соответствие интересы и склонности каждого учащегося с требованиями профессии; как помощь учащимся в осознании характеристик профессиональной деятельности и умении анализировать профессии.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профессионального самоопределения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профессионального самоопределение как структурного элемента сложного, многоступенчатого процесса развития человека. Структурные компоненты профессионального самоопределения учащихся. Понимание процесса профессионального самоопределения в психологии. Развитие личности в процессе выбора профессии. Возрастная динамика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Парадоксы субъектности в профессиональном самоопределении. Отличие профессионального самоопределения от личностного и жизненного самоопределения. Основные затруднения и ошибки при выборе профессии. Типичные варианты профессионального самоопределения, предложенные Н.С. Пряжниковым. Основные линии развития субъекта профессионального и личностного самоопределения.</w:t>
            </w:r>
          </w:p>
          <w:p>
            <w:pPr>
              <w:jc w:val="left"/>
              <w:spacing w:after="0" w:line="240" w:lineRule="auto"/>
              <w:rPr>
                <w:sz w:val="24"/>
                <w:szCs w:val="24"/>
              </w:rPr>
            </w:pPr>
            <w:r>
              <w:rPr>
                <w:rFonts w:ascii="Times New Roman" w:hAnsi="Times New Roman" w:cs="Times New Roman"/>
                <w:color w:val="#000000"/>
                <w:sz w:val="24"/>
                <w:szCs w:val="24"/>
              </w:rPr>
              <w:t> Стадии профессионального самоопределения личности. Уровни профессионального самоопределение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Оптант как субъект профессионального и личностного самоопределения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«оптант». Периодизация развития человека как субъекта труда, предложенная Е.А. Климовым.</w:t>
            </w:r>
          </w:p>
          <w:p>
            <w:pPr>
              <w:jc w:val="left"/>
              <w:spacing w:after="0" w:line="240" w:lineRule="auto"/>
              <w:rPr>
                <w:sz w:val="24"/>
                <w:szCs w:val="24"/>
              </w:rPr>
            </w:pPr>
            <w:r>
              <w:rPr>
                <w:rFonts w:ascii="Times New Roman" w:hAnsi="Times New Roman" w:cs="Times New Roman"/>
                <w:color w:val="#000000"/>
                <w:sz w:val="24"/>
                <w:szCs w:val="24"/>
              </w:rPr>
              <w:t> Основные факторы, влияющие на профессиональное самоопределение (позиции старших членов семьи, товарищей, одноклассников, учителей и др.; личные профессиональные планы; индивидуально-личностные особенности, интересы, склонности, способности, уровень притязаний на общественное признание; информация из интернета, ТВ, радио, газет, книг, журналов и др.). Восемь факторов выбора профессии по Е.А.Климову.</w:t>
            </w:r>
          </w:p>
          <w:p>
            <w:pPr>
              <w:jc w:val="left"/>
              <w:spacing w:after="0" w:line="240" w:lineRule="auto"/>
              <w:rPr>
                <w:sz w:val="24"/>
                <w:szCs w:val="24"/>
              </w:rPr>
            </w:pPr>
            <w:r>
              <w:rPr>
                <w:rFonts w:ascii="Times New Roman" w:hAnsi="Times New Roman" w:cs="Times New Roman"/>
                <w:color w:val="#000000"/>
                <w:sz w:val="24"/>
                <w:szCs w:val="24"/>
              </w:rPr>
              <w:t> Этапы освоения профессии. Профессионализм. компетентность. Квалификация. Стадии профессионального развития личности. Кризисы профессионального становления, как нормативные кризисы, ведущие к развитию личности.</w:t>
            </w:r>
          </w:p>
          <w:p>
            <w:pPr>
              <w:jc w:val="left"/>
              <w:spacing w:after="0" w:line="240" w:lineRule="auto"/>
              <w:rPr>
                <w:sz w:val="24"/>
                <w:szCs w:val="24"/>
              </w:rPr>
            </w:pPr>
            <w:r>
              <w:rPr>
                <w:rFonts w:ascii="Times New Roman" w:hAnsi="Times New Roman" w:cs="Times New Roman"/>
                <w:color w:val="#000000"/>
                <w:sz w:val="24"/>
                <w:szCs w:val="24"/>
              </w:rPr>
              <w:t> Особенности субъекта профессионального самоопределения. Параметры оценки уровня развития субъекта профессионального самоопределения.</w:t>
            </w:r>
          </w:p>
          <w:p>
            <w:pPr>
              <w:jc w:val="left"/>
              <w:spacing w:after="0" w:line="240" w:lineRule="auto"/>
              <w:rPr>
                <w:sz w:val="24"/>
                <w:szCs w:val="24"/>
              </w:rPr>
            </w:pPr>
            <w:r>
              <w:rPr>
                <w:rFonts w:ascii="Times New Roman" w:hAnsi="Times New Roman" w:cs="Times New Roman"/>
                <w:color w:val="#000000"/>
                <w:sz w:val="24"/>
                <w:szCs w:val="24"/>
              </w:rPr>
              <w:t> Педагогические условия эффективности профессионального самоопределения обучающихся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профессионального жизненного пути</w:t>
            </w:r>
          </w:p>
        </w:tc>
      </w:tr>
      <w:tr>
        <w:trPr>
          <w:trHeight w:hRule="exact" w:val="21.31518"/>
        </w:trPr>
        <w:tc>
          <w:tcPr>
            <w:tcW w:w="9640" w:type="dxa"/>
          </w:tcPr>
          <w:p/>
        </w:tc>
      </w:tr>
      <w:tr>
        <w:trPr>
          <w:trHeight w:hRule="exact" w:val="2868.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«личный профессиональный план». Основные обстоятельства, определяющие ситуацию выбора профессии. Структура личных профессиональных планов. Типы личных профессиональных планов. Общая последовательность действий при выборе профессии.</w:t>
            </w:r>
          </w:p>
          <w:p>
            <w:pPr>
              <w:jc w:val="left"/>
              <w:spacing w:after="0" w:line="240" w:lineRule="auto"/>
              <w:rPr>
                <w:sz w:val="24"/>
                <w:szCs w:val="24"/>
              </w:rPr>
            </w:pPr>
            <w:r>
              <w:rPr>
                <w:rFonts w:ascii="Times New Roman" w:hAnsi="Times New Roman" w:cs="Times New Roman"/>
                <w:color w:val="#000000"/>
                <w:sz w:val="24"/>
                <w:szCs w:val="24"/>
              </w:rPr>
              <w:t> Знание оптантом своих индивидуальных особенностей; знание профессии, ее содержания, требований, перспектив; умение сопоставлять эти два вида знаний и делать прогноз об успешности овладения профессией и возможностях самореализации как профессионала и личности Профессиональное самоопределение на разных этапах становления личности. Особенности оказания профориентационной психологической помощи клиентам различных образовательно-возрастных групп. Типичные ожидания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клиентов. Специфика помощи психолога-профконсультанта.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профориентационной работы</w:t>
            </w:r>
          </w:p>
        </w:tc>
      </w:tr>
      <w:tr>
        <w:trPr>
          <w:trHeight w:hRule="exact" w:val="21.31501"/>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просвещение оптантов. Формы профессионального просвещения: профессиональная информация и профессиональная пропаганда.</w:t>
            </w:r>
          </w:p>
          <w:p>
            <w:pPr>
              <w:jc w:val="left"/>
              <w:spacing w:after="0" w:line="240" w:lineRule="auto"/>
              <w:rPr>
                <w:sz w:val="24"/>
                <w:szCs w:val="24"/>
              </w:rPr>
            </w:pPr>
            <w:r>
              <w:rPr>
                <w:rFonts w:ascii="Times New Roman" w:hAnsi="Times New Roman" w:cs="Times New Roman"/>
                <w:color w:val="#000000"/>
                <w:sz w:val="24"/>
                <w:szCs w:val="24"/>
              </w:rPr>
              <w:t> Функции профессионального консультирования. Модели проведения профконсультативной работы. Основные стратегии профконсультирования.</w:t>
            </w:r>
          </w:p>
          <w:p>
            <w:pPr>
              <w:jc w:val="left"/>
              <w:spacing w:after="0" w:line="240" w:lineRule="auto"/>
              <w:rPr>
                <w:sz w:val="24"/>
                <w:szCs w:val="24"/>
              </w:rPr>
            </w:pPr>
            <w:r>
              <w:rPr>
                <w:rFonts w:ascii="Times New Roman" w:hAnsi="Times New Roman" w:cs="Times New Roman"/>
                <w:color w:val="#000000"/>
                <w:sz w:val="24"/>
                <w:szCs w:val="24"/>
              </w:rPr>
              <w:t> Основные группы профориентационных методов. Типы профконсультаций.</w:t>
            </w:r>
          </w:p>
          <w:p>
            <w:pPr>
              <w:jc w:val="left"/>
              <w:spacing w:after="0" w:line="240" w:lineRule="auto"/>
              <w:rPr>
                <w:sz w:val="24"/>
                <w:szCs w:val="24"/>
              </w:rPr>
            </w:pPr>
            <w:r>
              <w:rPr>
                <w:rFonts w:ascii="Times New Roman" w:hAnsi="Times New Roman" w:cs="Times New Roman"/>
                <w:color w:val="#000000"/>
                <w:sz w:val="24"/>
                <w:szCs w:val="24"/>
              </w:rPr>
              <w:t> Пятишаговая  модель психологического интервью в процессе</w:t>
            </w:r>
          </w:p>
          <w:p>
            <w:pPr>
              <w:jc w:val="left"/>
              <w:spacing w:after="0" w:line="240" w:lineRule="auto"/>
              <w:rPr>
                <w:sz w:val="24"/>
                <w:szCs w:val="24"/>
              </w:rPr>
            </w:pPr>
            <w:r>
              <w:rPr>
                <w:rFonts w:ascii="Times New Roman" w:hAnsi="Times New Roman" w:cs="Times New Roman"/>
                <w:color w:val="#000000"/>
                <w:sz w:val="24"/>
                <w:szCs w:val="24"/>
              </w:rPr>
              <w:t> Профессионального консультирования.</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задачи профконсультанта.</w:t>
            </w:r>
          </w:p>
          <w:p>
            <w:pPr>
              <w:jc w:val="left"/>
              <w:spacing w:after="0" w:line="240" w:lineRule="auto"/>
              <w:rPr>
                <w:sz w:val="24"/>
                <w:szCs w:val="24"/>
              </w:rPr>
            </w:pPr>
            <w:r>
              <w:rPr>
                <w:rFonts w:ascii="Times New Roman" w:hAnsi="Times New Roman" w:cs="Times New Roman"/>
                <w:color w:val="#000000"/>
                <w:sz w:val="24"/>
                <w:szCs w:val="24"/>
              </w:rPr>
              <w:t> Методика индивидуальной профконсультации зависимости от ситуации выбора профессии. Использование активизирующих профориентационных методов воздействия на клиента в це¬лях преодоления трудностей его личностного и профессионального самоопределения, решения внутриличностных проблем в процессе подготовки к выбору профессии.</w:t>
            </w:r>
          </w:p>
          <w:p>
            <w:pPr>
              <w:jc w:val="left"/>
              <w:spacing w:after="0" w:line="240" w:lineRule="auto"/>
              <w:rPr>
                <w:sz w:val="24"/>
                <w:szCs w:val="24"/>
              </w:rPr>
            </w:pPr>
            <w:r>
              <w:rPr>
                <w:rFonts w:ascii="Times New Roman" w:hAnsi="Times New Roman" w:cs="Times New Roman"/>
                <w:color w:val="#000000"/>
                <w:sz w:val="24"/>
                <w:szCs w:val="24"/>
              </w:rPr>
              <w:t> Различные модели программ профориентации активизирующего воздействия. Технологии групповой работы с оптантами. Психологический тренинг по развитию самосознания старшеклассников («Психологическое со¬провождение выбора профессии» под редакцией Л.М. Митиной). Комплекс специализи¬рованных упражнений и игровых программ Н.С. Пряжникова.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Профессиоведение как раздел профконсультирования</w:t>
            </w:r>
          </w:p>
        </w:tc>
      </w:tr>
      <w:tr>
        <w:trPr>
          <w:trHeight w:hRule="exact" w:val="21.31518"/>
        </w:trPr>
        <w:tc>
          <w:tcPr>
            <w:tcW w:w="9640" w:type="dxa"/>
          </w:tcPr>
          <w:p/>
        </w:tc>
      </w:tr>
      <w:tr>
        <w:trPr>
          <w:trHeight w:hRule="exact" w:val="9476.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p>
            <w:pPr>
              <w:jc w:val="left"/>
              <w:spacing w:after="0" w:line="240" w:lineRule="auto"/>
              <w:rPr>
                <w:sz w:val="24"/>
                <w:szCs w:val="24"/>
              </w:rPr>
            </w:pPr>
            <w:r>
              <w:rPr>
                <w:rFonts w:ascii="Times New Roman" w:hAnsi="Times New Roman" w:cs="Times New Roman"/>
                <w:color w:val="#000000"/>
                <w:sz w:val="24"/>
                <w:szCs w:val="24"/>
              </w:rPr>
              <w:t> Определение профессии. Современный мир профессий и тенденции его</w:t>
            </w:r>
          </w:p>
          <w:p>
            <w:pPr>
              <w:jc w:val="left"/>
              <w:spacing w:after="0" w:line="240" w:lineRule="auto"/>
              <w:rPr>
                <w:sz w:val="24"/>
                <w:szCs w:val="24"/>
              </w:rPr>
            </w:pPr>
            <w:r>
              <w:rPr>
                <w:rFonts w:ascii="Times New Roman" w:hAnsi="Times New Roman" w:cs="Times New Roman"/>
                <w:color w:val="#000000"/>
                <w:sz w:val="24"/>
                <w:szCs w:val="24"/>
              </w:rPr>
              <w:t> развития. Понятия «профессиограмма» и «психограмма». Профессиография как метод изучения и анализа трудовой деятельности. Профессиограмма и психограмма. Принципы профессиографии: специфичность (конкретность), поэтапность изучения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целенаправленность описания, селективность (избирательность), многоуровневость (комплексность), динамичность, системность, идентичность методик, использование качественно – количественных методов изучения. Основные подходы в развитии отечественной профессиографии. Принципы и типы профессиографирования. Области применения профессиограмм :профконсультация и профориентация, профотбор и профподбор, аттестацияи профобразование. Понятие «формула профессии» (по Е.А.Климову). Схема анализа профессий и варианты ее использования в профконсультации.</w:t>
            </w:r>
          </w:p>
          <w:p>
            <w:pPr>
              <w:jc w:val="left"/>
              <w:spacing w:after="0" w:line="240" w:lineRule="auto"/>
              <w:rPr>
                <w:sz w:val="24"/>
                <w:szCs w:val="24"/>
              </w:rPr>
            </w:pPr>
            <w:r>
              <w:rPr>
                <w:rFonts w:ascii="Times New Roman" w:hAnsi="Times New Roman" w:cs="Times New Roman"/>
                <w:color w:val="#000000"/>
                <w:sz w:val="24"/>
                <w:szCs w:val="24"/>
              </w:rPr>
              <w:t> Основные методы профессиографирования. Организационные методы. Сбор эмпирических данных. Обработка эмпирических данных. Обработка эмпирических данных. Интерпретационные методы.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«Самоопределение и профессиональная ориентация учащихся»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https://urait.ru/bcode/431854</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7.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83.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2023-2024_ФГОС3++2023_Бак-ОФО-ППО (ПО)(23)_plx_Самоопределение и профессиональная ориентация учащихся</dc:title>
  <dc:creator>FastReport.NET</dc:creator>
</cp:coreProperties>
</file>